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left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b w:val="1"/>
          <w:u w:val="single"/>
          <w:rtl w:val="0"/>
        </w:rPr>
        <w:t xml:space="preserve">Nota de prensa</w:t>
      </w:r>
    </w:p>
    <w:p w:rsidR="00000000" w:rsidDel="00000000" w:rsidP="00000000" w:rsidRDefault="00000000" w:rsidRPr="00000000" w14:paraId="00000003">
      <w:pPr>
        <w:spacing w:after="240" w:before="240" w:lineRule="auto"/>
        <w:jc w:val="center"/>
        <w:rPr>
          <w:rFonts w:ascii="Arial" w:cs="Arial" w:eastAsia="Arial" w:hAnsi="Arial"/>
          <w:b w:val="1"/>
          <w:sz w:val="50"/>
          <w:szCs w:val="50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sz w:val="36"/>
          <w:szCs w:val="36"/>
          <w:highlight w:val="white"/>
          <w:rtl w:val="0"/>
        </w:rPr>
        <w:t xml:space="preserve">España, referente en los </w:t>
      </w:r>
      <w:r w:rsidDel="00000000" w:rsidR="00000000" w:rsidRPr="00000000">
        <w:rPr>
          <w:rFonts w:ascii="Arial" w:cs="Arial" w:eastAsia="Arial" w:hAnsi="Arial"/>
          <w:b w:val="1"/>
          <w:sz w:val="36"/>
          <w:szCs w:val="36"/>
          <w:rtl w:val="0"/>
        </w:rPr>
        <w:t xml:space="preserve">Premios Capitales Europeas de la Inclusión y la Diversidad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lineRule="auto"/>
        <w:ind w:left="720" w:hanging="360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Bilbao, Zaragoza, y las localidades de L’Alfàs del Pi, Parada de Sil, San Xoán de Río y Usurbil entre las finalistas de los Premios Capitales Europeas de la Inclusión y la Diversidad</w:t>
      </w:r>
    </w:p>
    <w:p w:rsidR="00000000" w:rsidDel="00000000" w:rsidP="00000000" w:rsidRDefault="00000000" w:rsidRPr="00000000" w14:paraId="00000005">
      <w:pPr>
        <w:spacing w:after="0" w:lineRule="auto"/>
        <w:ind w:left="720" w:firstLine="0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lineRule="auto"/>
        <w:ind w:left="720" w:hanging="360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El Mes Europeo de la Diversidad se celebra por sexto año consecutivo durante el mes de mayo, un espacio para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reafirmar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el compromiso con los valores europeos </w:t>
      </w:r>
    </w:p>
    <w:p w:rsidR="00000000" w:rsidDel="00000000" w:rsidP="00000000" w:rsidRDefault="00000000" w:rsidRPr="00000000" w14:paraId="00000007">
      <w:pPr>
        <w:spacing w:after="0" w:lineRule="auto"/>
        <w:ind w:left="720" w:firstLine="0"/>
        <w:jc w:val="center"/>
        <w:rPr>
          <w:rFonts w:ascii="Arial" w:cs="Arial" w:eastAsia="Arial" w:hAnsi="Arial"/>
          <w:b w:val="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spacing w:after="0" w:lineRule="auto"/>
        <w:ind w:left="720" w:hanging="360"/>
        <w:jc w:val="center"/>
        <w:rPr>
          <w:rFonts w:ascii="Arial" w:cs="Arial" w:eastAsia="Arial" w:hAnsi="Arial"/>
          <w:b w:val="1"/>
          <w:highlight w:val="white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Más de 1.600 organizaciones firmantes de la Carta de la Diversidad se han comprometido a trabajar por la equidad e inclusión laboral en España, según Fundación Diversidad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</w:rPr>
        <w:drawing>
          <wp:inline distB="114300" distT="114300" distL="114300" distR="114300">
            <wp:extent cx="5399730" cy="3035300"/>
            <wp:effectExtent b="0" l="0" r="0" t="0"/>
            <wp:docPr id="1909970034" name="image3.jpg"/>
            <a:graphic>
              <a:graphicData uri="http://schemas.openxmlformats.org/drawingml/2006/picture">
                <pic:pic>
                  <pic:nvPicPr>
                    <pic:cNvPr id="0" name="image3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9730" cy="30353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Madrid, 02 de abril de 2025 –</w:t>
      </w:r>
      <w:r w:rsidDel="00000000" w:rsidR="00000000" w:rsidRPr="00000000">
        <w:rPr>
          <w:rFonts w:ascii="Arial" w:cs="Arial" w:eastAsia="Arial" w:hAnsi="Arial"/>
          <w:rtl w:val="0"/>
        </w:rPr>
        <w:t xml:space="preserve"> España vuelve a ser un referente en diversidad e inclusión en Europa, con varias ciudades y pueblos  destacando en la presente edición de los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Premios Capitales Europeas de la Inclusión y la Diversidad</w:t>
      </w:r>
      <w:r w:rsidDel="00000000" w:rsidR="00000000" w:rsidRPr="00000000">
        <w:rPr>
          <w:rFonts w:ascii="Arial" w:cs="Arial" w:eastAsia="Arial" w:hAnsi="Arial"/>
          <w:rtl w:val="0"/>
        </w:rPr>
        <w:t xml:space="preserve">. En la categoría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administraciones locales con más de 50.000 habitantes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Bilbao y Zaragoza</w:t>
      </w:r>
      <w:r w:rsidDel="00000000" w:rsidR="00000000" w:rsidRPr="00000000">
        <w:rPr>
          <w:rFonts w:ascii="Arial" w:cs="Arial" w:eastAsia="Arial" w:hAnsi="Arial"/>
          <w:rtl w:val="0"/>
        </w:rPr>
        <w:t xml:space="preserve"> han logrado posicionarse como finalistas gracias a sus políticas innovadoras y su compromiso con la igualdad.</w:t>
      </w:r>
    </w:p>
    <w:p w:rsidR="00000000" w:rsidDel="00000000" w:rsidP="00000000" w:rsidRDefault="00000000" w:rsidRPr="00000000" w14:paraId="0000000D">
      <w:pPr>
        <w:spacing w:after="240" w:before="24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la categoría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localidades de menos de 50.000 habitantes</w:t>
      </w:r>
      <w:r w:rsidDel="00000000" w:rsidR="00000000" w:rsidRPr="00000000">
        <w:rPr>
          <w:rFonts w:ascii="Arial" w:cs="Arial" w:eastAsia="Arial" w:hAnsi="Arial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L’Alfàs del Pi </w:t>
      </w:r>
      <w:r w:rsidDel="00000000" w:rsidR="00000000" w:rsidRPr="00000000">
        <w:rPr>
          <w:rFonts w:ascii="Arial" w:cs="Arial" w:eastAsia="Arial" w:hAnsi="Arial"/>
          <w:rtl w:val="0"/>
        </w:rPr>
        <w:t xml:space="preserve">(Alicante),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Parada de Sil </w:t>
      </w:r>
      <w:r w:rsidDel="00000000" w:rsidR="00000000" w:rsidRPr="00000000">
        <w:rPr>
          <w:rFonts w:ascii="Arial" w:cs="Arial" w:eastAsia="Arial" w:hAnsi="Arial"/>
          <w:rtl w:val="0"/>
        </w:rPr>
        <w:t xml:space="preserve">(Orense),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San Xoán de Río </w:t>
      </w:r>
      <w:r w:rsidDel="00000000" w:rsidR="00000000" w:rsidRPr="00000000">
        <w:rPr>
          <w:rFonts w:ascii="Arial" w:cs="Arial" w:eastAsia="Arial" w:hAnsi="Arial"/>
          <w:rtl w:val="0"/>
        </w:rPr>
        <w:t xml:space="preserve">(Orense)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y Usurbil</w:t>
      </w:r>
      <w:r w:rsidDel="00000000" w:rsidR="00000000" w:rsidRPr="00000000">
        <w:rPr>
          <w:rFonts w:ascii="Arial" w:cs="Arial" w:eastAsia="Arial" w:hAnsi="Arial"/>
          <w:rtl w:val="0"/>
        </w:rPr>
        <w:t xml:space="preserve"> (Guipúzcoa) han sido reconocidas por su trabajo en la construcción de comunidades más inclusivas. Además, en la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categoría especial de Vivienda Inclusiva</w:t>
      </w:r>
      <w:r w:rsidDel="00000000" w:rsidR="00000000" w:rsidRPr="00000000">
        <w:rPr>
          <w:rFonts w:ascii="Arial" w:cs="Arial" w:eastAsia="Arial" w:hAnsi="Arial"/>
          <w:rtl w:val="0"/>
        </w:rPr>
        <w:t xml:space="preserve">, vuelven a destacar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Parada de Sil, San Xoán de Río, Usurbil y Zaragoza</w:t>
      </w:r>
      <w:r w:rsidDel="00000000" w:rsidR="00000000" w:rsidRPr="00000000">
        <w:rPr>
          <w:rFonts w:ascii="Arial" w:cs="Arial" w:eastAsia="Arial" w:hAnsi="Arial"/>
          <w:rtl w:val="0"/>
        </w:rPr>
        <w:t xml:space="preserve">, reafirmando su liderazgo en el desarrollo de espacios accesibles y equitativos.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lineRule="auto"/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Mes Europeo de la Diversidad para reafirmar la defensa de sus valores</w:t>
      </w:r>
    </w:p>
    <w:p w:rsidR="00000000" w:rsidDel="00000000" w:rsidP="00000000" w:rsidRDefault="00000000" w:rsidRPr="00000000" w14:paraId="0000000F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Las galardonadas serán anunciadas en la ceremonia de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inauguración del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hyperlink r:id="rId8">
        <w:r w:rsidDel="00000000" w:rsidR="00000000" w:rsidRPr="00000000">
          <w:rPr>
            <w:rFonts w:ascii="Arial" w:cs="Arial" w:eastAsia="Arial" w:hAnsi="Arial"/>
            <w:b w:val="1"/>
            <w:color w:val="1155cc"/>
            <w:u w:val="single"/>
            <w:rtl w:val="0"/>
          </w:rPr>
          <w:t xml:space="preserve">Mes Europeo de la Diversidad 2025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que tendrá lugar el próximo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29 de abril en Bruselas</w:t>
      </w:r>
      <w:r w:rsidDel="00000000" w:rsidR="00000000" w:rsidRPr="00000000">
        <w:rPr>
          <w:rFonts w:ascii="Arial" w:cs="Arial" w:eastAsia="Arial" w:hAnsi="Arial"/>
          <w:rtl w:val="0"/>
        </w:rPr>
        <w:t xml:space="preserve">. La comisaria europea de Igualdad, Preparación y Gestión de Crisis,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Hadja Lahbib</w:t>
      </w:r>
      <w:r w:rsidDel="00000000" w:rsidR="00000000" w:rsidRPr="00000000">
        <w:rPr>
          <w:rFonts w:ascii="Arial" w:cs="Arial" w:eastAsia="Arial" w:hAnsi="Arial"/>
          <w:rtl w:val="0"/>
        </w:rPr>
        <w:t xml:space="preserve">, dará comienzo oficialmente a la campaña de este año, en un evento que reunirá a representantes de ciudades y regiones europeas, responsables políticos y firmantes de la Carta de la Diversidad.</w:t>
      </w:r>
    </w:p>
    <w:p w:rsidR="00000000" w:rsidDel="00000000" w:rsidP="00000000" w:rsidRDefault="00000000" w:rsidRPr="00000000" w14:paraId="00000010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Impulsada por la Comisión Europea y la Plataforma Europea de las Cartas de la Diversidad, esta iniciativa busca concienciar sobre la importancia de la igualdad de oportunidades en el ámbito laboral. </w:t>
      </w:r>
      <w:r w:rsidDel="00000000" w:rsidR="00000000" w:rsidRPr="00000000">
        <w:rPr>
          <w:rFonts w:ascii="Arial" w:cs="Arial" w:eastAsia="Arial" w:hAnsi="Arial"/>
          <w:rtl w:val="0"/>
        </w:rPr>
        <w:t xml:space="preserve">Esta sexta edición pondrá el foco, por un lado, en la salud mental y el bienestar de la plantilla y, por otro, en la defensa de los valores europeos.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evento oficial en España se celebrará el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21 de mayo </w:t>
      </w:r>
      <w:r w:rsidDel="00000000" w:rsidR="00000000" w:rsidRPr="00000000">
        <w:rPr>
          <w:rFonts w:ascii="Arial" w:cs="Arial" w:eastAsia="Arial" w:hAnsi="Arial"/>
          <w:rtl w:val="0"/>
        </w:rPr>
        <w:t xml:space="preserve">en el campus de Alcobendas de la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Universidad Europea de Madrid</w:t>
      </w:r>
      <w:r w:rsidDel="00000000" w:rsidR="00000000" w:rsidRPr="00000000">
        <w:rPr>
          <w:rFonts w:ascii="Arial" w:cs="Arial" w:eastAsia="Arial" w:hAnsi="Arial"/>
          <w:rtl w:val="0"/>
        </w:rPr>
        <w:t xml:space="preserve">. Durante el evento, se analizará la salud mental en entornos laborales y también su impacto en el futuro del trabajo. Según la Organización Mundial de la Salud (OMS),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 de cada 4 personas experimentará un problema de salud mental</w:t>
      </w:r>
      <w:r w:rsidDel="00000000" w:rsidR="00000000" w:rsidRPr="00000000">
        <w:rPr>
          <w:rFonts w:ascii="Arial" w:cs="Arial" w:eastAsia="Arial" w:hAnsi="Arial"/>
          <w:rtl w:val="0"/>
        </w:rPr>
        <w:t xml:space="preserve"> a lo largo de su vida, y el entorno laboral es clave en su bienestar emocional y desarrollo profesional. Además, la Agencia Europea para la Salud y Seguridad en el Trabajo (EU-OSHA), señala que en Europa,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el 44 % de las y los trabajadores declara que el estrés afecta negativamente a su desempeño laboral</w:t>
      </w:r>
      <w:r w:rsidDel="00000000" w:rsidR="00000000" w:rsidRPr="00000000">
        <w:rPr>
          <w:rFonts w:ascii="Arial" w:cs="Arial" w:eastAsia="Arial" w:hAnsi="Arial"/>
          <w:rtl w:val="0"/>
        </w:rPr>
        <w:t xml:space="preserve">, lo que subraya la necesidad de implementar políticas empresariales que fomenten entornos de trabajo saludables.</w:t>
      </w:r>
    </w:p>
    <w:p w:rsidR="00000000" w:rsidDel="00000000" w:rsidP="00000000" w:rsidRDefault="00000000" w:rsidRPr="00000000" w14:paraId="00000012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Fundación Diversidad, promotora de la Carta de la Diversidad en España, impulsa en España la participación de empresas e instituciones en esta iniciativa mediante campañas de sensibilización, talleres y formaciones.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En este marco, se ha organizado para hoy, 2 de abril a las 12:00, un webinar informativo para orientar a las empresas sobre cómo involucrarse activamente en el Mes Europeo de la Diversidad.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Recursos para celebrar el Mes Europeo de la Diversidad</w:t>
      </w:r>
    </w:p>
    <w:p w:rsidR="00000000" w:rsidDel="00000000" w:rsidP="00000000" w:rsidRDefault="00000000" w:rsidRPr="00000000" w14:paraId="00000014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Como cada año, Fundación Diversidad ha puesto a disposición en su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página web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rtl w:val="0"/>
        </w:rPr>
        <w:t xml:space="preserve">una serie de recursos y herramientas que las organizaciones pueden descargar y utilizar de forma gratuita en sus sitios web, redes sociales, boletines informativos o firmas de correo electrónico. Además, se ha publicado una </w:t>
      </w:r>
      <w:hyperlink r:id="rId10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Guía para la celebración del Mes Europeo de la Diversidad 2025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cuyo propósito es inspirar y ofrecer recomendaciones sobre las actividades que las organizaciones pueden organizar durante este mes. Para unificar la conversación en torno a esta importante iniciativa, se utilizarán los hashtags #EUDiversityMonth, #MesEuropeoDeLaDiversidad y #SoyEuropa, que permitirán a las organizaciones y a las personas compartir sus experiencias, ideas y compromisos en las redes sociales.</w:t>
      </w:r>
    </w:p>
    <w:p w:rsidR="00000000" w:rsidDel="00000000" w:rsidP="00000000" w:rsidRDefault="00000000" w:rsidRPr="00000000" w14:paraId="00000015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Todas las organizaciones interesadas en presentar sus iniciativas a favor de la diversidad pueden hacerlo a través de la </w:t>
      </w:r>
      <w:hyperlink r:id="rId11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web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oficial, donde también encontrarán un buscador con las iniciativas registradas.</w:t>
      </w:r>
    </w:p>
    <w:p w:rsidR="00000000" w:rsidDel="00000000" w:rsidP="00000000" w:rsidRDefault="00000000" w:rsidRPr="00000000" w14:paraId="00000016">
      <w:pPr>
        <w:spacing w:after="240" w:befor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España, el Mes Europeo de la Diversidad estará cofinanciado por la Unión Europea y cuenta con el patrocinio d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e Vivofácil y la Universidad Europea. </w:t>
      </w:r>
      <w:r w:rsidDel="00000000" w:rsidR="00000000" w:rsidRPr="00000000">
        <w:rPr>
          <w:rFonts w:ascii="Arial" w:cs="Arial" w:eastAsia="Arial" w:hAnsi="Arial"/>
          <w:rtl w:val="0"/>
        </w:rPr>
        <w:t xml:space="preserve">RTVE es el media partner oficial, y como entidades colaboradoras se han sumado Corresponsables y RRHH Digital.</w:t>
      </w:r>
    </w:p>
    <w:p w:rsidR="00000000" w:rsidDel="00000000" w:rsidP="00000000" w:rsidRDefault="00000000" w:rsidRPr="00000000" w14:paraId="00000017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Sobre Fundación Diversidad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Fundación para la Diversidad promueve el mayor movimiento de empresas y organizaciones a favor de la gestión de la diversidad e inclusión de las personas independientemente del género, sexo, edad, cultura, origen, nacionalidad, discapacidad, religión, orientación sexual o cualquier otra condición individual o social. Con más de 1.600 empresas firmantes de la Carta de la Diversidad, una iniciativa pionera en Europa. Siendo la diversidad e inclusión un imperativo ético y legal, realizamos actividades de concienciación y divulgación dirigidas al equipo directivo y las plantillas. Fundación Diversidad tiene la convicción de que la diversidad además genera innovación, sostenibilidad y beneficios empresariales a largo plazo. Los socios de Fundación Diversidad son: Admiral Seguros, Alcon, Alsa, Allianz, AXA, BASF, BBi Communication, BBVA, BD, Bunzl, CaixaBank, Clarios, Diageo, Iberdrola, JTI, LATAM Airlines, Leroy Merlin, Lilly, MASORANGE, Moeve, Nationale-Nederlanden, Provital Group, Real Madrid Club de Fútbol, Richemont, Sacyr, Towa Pharmaceuticals, UCI y Vivofácil.</w:t>
      </w:r>
    </w:p>
    <w:p w:rsidR="00000000" w:rsidDel="00000000" w:rsidP="00000000" w:rsidRDefault="00000000" w:rsidRPr="00000000" w14:paraId="00000019">
      <w:pPr>
        <w:spacing w:after="0" w:line="240" w:lineRule="auto"/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color w:val="000000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Más información: https://fundaciondiversidad.com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80" w:before="28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Contacto de comunicación: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000000"/>
          <w:sz w:val="18"/>
          <w:szCs w:val="18"/>
          <w:rtl w:val="0"/>
        </w:rPr>
        <w:t xml:space="preserve">Fundación Diversidad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Gonzalo Grandes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color w:val="000000"/>
          <w:sz w:val="18"/>
          <w:szCs w:val="18"/>
          <w:rtl w:val="0"/>
        </w:rPr>
        <w:t xml:space="preserve">Teléfono: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680 988 987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Email: </w:t>
      </w:r>
      <w:hyperlink r:id="rId12">
        <w:r w:rsidDel="00000000" w:rsidR="00000000" w:rsidRPr="00000000">
          <w:rPr>
            <w:rFonts w:ascii="Arial" w:cs="Arial" w:eastAsia="Arial" w:hAnsi="Arial"/>
            <w:color w:val="1155cc"/>
            <w:sz w:val="18"/>
            <w:szCs w:val="18"/>
            <w:u w:val="single"/>
            <w:rtl w:val="0"/>
          </w:rPr>
          <w:t xml:space="preserve">gonzalograndes@fundaciondiversidad.com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sectPr>
      <w:headerReference r:id="rId13" w:type="default"/>
      <w:pgSz w:h="16838" w:w="11906" w:orient="portrait"/>
      <w:pgMar w:bottom="1417" w:top="1417" w:left="1701" w:right="1701" w:header="850.3937007874016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1">
    <w:pPr>
      <w:tabs>
        <w:tab w:val="center" w:leader="none" w:pos="4252"/>
        <w:tab w:val="right" w:leader="none" w:pos="8504"/>
      </w:tabs>
      <w:spacing w:after="0" w:line="240" w:lineRule="auto"/>
      <w:jc w:val="both"/>
      <w:rPr>
        <w:color w:val="000000"/>
      </w:rPr>
    </w:pPr>
    <w:r w:rsidDel="00000000" w:rsidR="00000000" w:rsidRPr="00000000">
      <w:rPr/>
      <w:drawing>
        <wp:inline distB="0" distT="0" distL="114300" distR="114300">
          <wp:extent cx="1805940" cy="769620"/>
          <wp:effectExtent b="0" l="0" r="0" t="0"/>
          <wp:docPr id="190997003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20713" l="12777" r="11483" t="21890"/>
                  <a:stretch>
                    <a:fillRect/>
                  </a:stretch>
                </pic:blipFill>
                <pic:spPr>
                  <a:xfrm>
                    <a:off x="0" y="0"/>
                    <a:ext cx="1805940" cy="76962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3942405</wp:posOffset>
          </wp:positionH>
          <wp:positionV relativeFrom="paragraph">
            <wp:posOffset>-409574</wp:posOffset>
          </wp:positionV>
          <wp:extent cx="1456380" cy="1468516"/>
          <wp:effectExtent b="0" l="0" r="0" t="0"/>
          <wp:wrapNone/>
          <wp:docPr id="190997003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56380" cy="1468516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uest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2" w:customStyle="1">
    <w:name w:val="Table Normal2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3" w:customStyle="1">
    <w:name w:val="Table Normal3"/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Hipervnculo">
    <w:name w:val="Hyperlink"/>
    <w:basedOn w:val="Fuentedeprrafopredeter"/>
    <w:uiPriority w:val="99"/>
    <w:unhideWhenUsed w:val="1"/>
    <w:rsid w:val="000E225D"/>
    <w:rPr>
      <w:color w:val="0563c1" w:themeColor="hyperlink"/>
      <w:u w:val="single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0E225D"/>
    <w:rPr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unhideWhenUsed w:val="1"/>
    <w:rsid w:val="002C27AD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C27AD"/>
  </w:style>
  <w:style w:type="paragraph" w:styleId="Piedepgina">
    <w:name w:val="footer"/>
    <w:basedOn w:val="Normal"/>
    <w:link w:val="PiedepginaCar"/>
    <w:uiPriority w:val="99"/>
    <w:unhideWhenUsed w:val="1"/>
    <w:rsid w:val="002C27AD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C27AD"/>
  </w:style>
  <w:style w:type="paragraph" w:styleId="Textoindependiente">
    <w:name w:val="Body Text"/>
    <w:basedOn w:val="Normal"/>
    <w:link w:val="TextoindependienteCar"/>
    <w:uiPriority w:val="1"/>
    <w:qFormat w:val="1"/>
    <w:rsid w:val="0097121B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sz w:val="20"/>
      <w:szCs w:val="20"/>
      <w:lang w:bidi="es-ES"/>
    </w:rPr>
  </w:style>
  <w:style w:type="character" w:styleId="TextoindependienteCar" w:customStyle="1">
    <w:name w:val="Texto independiente Car"/>
    <w:basedOn w:val="Fuentedeprrafopredeter"/>
    <w:link w:val="Textoindependiente"/>
    <w:uiPriority w:val="1"/>
    <w:rsid w:val="0097121B"/>
    <w:rPr>
      <w:rFonts w:ascii="Arial" w:cs="Arial" w:eastAsia="Arial" w:hAnsi="Arial"/>
      <w:sz w:val="20"/>
      <w:szCs w:val="20"/>
      <w:lang w:bidi="es-ES" w:eastAsia="es-ES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3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Web">
    <w:name w:val="Normal (Web)"/>
    <w:basedOn w:val="Normal"/>
    <w:uiPriority w:val="99"/>
    <w:semiHidden w:val="1"/>
    <w:unhideWhenUsed w:val="1"/>
    <w:rsid w:val="0053608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sid w:val="00FC40D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rsid w:val="00FC40DA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sid w:val="00FC40D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FC40DA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FC40DA"/>
    <w:rPr>
      <w:b w:val="1"/>
      <w:bCs w:val="1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FC40DA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FC40DA"/>
    <w:rPr>
      <w:rFonts w:ascii="Segoe UI" w:cs="Segoe UI" w:hAnsi="Segoe UI"/>
      <w:sz w:val="18"/>
      <w:szCs w:val="18"/>
    </w:rPr>
  </w:style>
  <w:style w:type="paragraph" w:styleId="Prrafodelista">
    <w:name w:val="List Paragraph"/>
    <w:basedOn w:val="Normal"/>
    <w:uiPriority w:val="34"/>
    <w:qFormat w:val="1"/>
    <w:rsid w:val="00861422"/>
    <w:pPr>
      <w:ind w:left="720"/>
      <w:contextualSpacing w:val="1"/>
    </w:pPr>
  </w:style>
  <w:style w:type="paragraph" w:styleId="Revisin">
    <w:name w:val="Revision"/>
    <w:hidden w:val="1"/>
    <w:uiPriority w:val="99"/>
    <w:semiHidden w:val="1"/>
    <w:rsid w:val="00DD5205"/>
    <w:pPr>
      <w:spacing w:after="0" w:line="240" w:lineRule="auto"/>
    </w:p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F300E6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eu-diversity-inclusion.campaign.europa.eu/register-event_en?prefLang=es" TargetMode="External"/><Relationship Id="rId10" Type="http://schemas.openxmlformats.org/officeDocument/2006/relationships/hyperlink" Target="https://fundaciondiversidad.com/wp-content/uploads/2025/03/GUIA-MES-EUROPEO-DIVERSIDAD-2025-espanol.pdf" TargetMode="External"/><Relationship Id="rId13" Type="http://schemas.openxmlformats.org/officeDocument/2006/relationships/header" Target="header1.xml"/><Relationship Id="rId12" Type="http://schemas.openxmlformats.org/officeDocument/2006/relationships/hyperlink" Target="mailto:gonzalograndes@fundaciondiversidad.com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undaciondiversidad.com/mes-europeo-diversidad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jpg"/><Relationship Id="rId8" Type="http://schemas.openxmlformats.org/officeDocument/2006/relationships/hyperlink" Target="https://eu-diversity-inclusion.campaign.europa.eu/index_es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B4P2z+BoDGZR9/7l8isWvdbUgA==">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2024-02-28T12:33:00Z</dcterms:created>
  <dc:creator>ALARES</dc:creator>
</cp:coreProperties>
</file>